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ook w:val="04A0" w:firstRow="1" w:lastRow="0" w:firstColumn="1" w:lastColumn="0" w:noHBand="0" w:noVBand="1"/>
      </w:tblPr>
      <w:tblGrid>
        <w:gridCol w:w="1521"/>
        <w:gridCol w:w="5363"/>
        <w:gridCol w:w="3196"/>
      </w:tblGrid>
      <w:tr w:rsidR="002F1583">
        <w:tc>
          <w:tcPr>
            <w:tcW w:w="1440" w:type="dxa"/>
          </w:tcPr>
          <w:p w:rsidR="002F1583" w:rsidRDefault="00E82F13">
            <w:r>
              <w:rPr>
                <w:noProof/>
                <w:lang w:bidi="ar-SA"/>
              </w:rPr>
              <w:drawing>
                <wp:inline distT="0" distB="0" distL="0" distR="0" wp14:editId="50D07946">
                  <wp:extent cx="828675" cy="723900"/>
                  <wp:effectExtent l="0" t="0" r="0" b="0"/>
                  <wp:docPr id="1" name="graylogo2" descr="city of homer logo" title="city of hom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ylogo2"/>
                          <pic:cNvPicPr/>
                        </pic:nvPicPr>
                        <pic:blipFill>
                          <a:blip r:embed="rId7" cstate="print">
                            <a:extLst/>
                          </a:blip>
                          <a:stretch>
                            <a:fillRect/>
                          </a:stretch>
                        </pic:blipFill>
                        <pic:spPr>
                          <a:xfrm>
                            <a:off x="0" y="0"/>
                            <a:ext cx="828675" cy="723900"/>
                          </a:xfrm>
                          <a:prstGeom prst="rect">
                            <a:avLst/>
                          </a:prstGeom>
                        </pic:spPr>
                      </pic:pic>
                    </a:graphicData>
                  </a:graphic>
                </wp:inline>
              </w:drawing>
            </w:r>
          </w:p>
        </w:tc>
        <w:tc>
          <w:tcPr>
            <w:tcW w:w="5400" w:type="dxa"/>
            <w:tcBorders>
              <w:bottom w:val="single" w:sz="24" w:space="0" w:color="000000"/>
            </w:tcBorders>
            <w:vAlign w:val="center"/>
          </w:tcPr>
          <w:p w:rsidR="002F1583" w:rsidRDefault="00176FA8">
            <w:r>
              <w:rPr>
                <w:b/>
                <w:sz w:val="44"/>
                <w:szCs w:val="44"/>
              </w:rPr>
              <w:t>MEMORANDUM</w:t>
            </w:r>
          </w:p>
        </w:tc>
        <w:tc>
          <w:tcPr>
            <w:tcW w:w="3240" w:type="dxa"/>
            <w:tcBorders>
              <w:bottom w:val="single" w:sz="24" w:space="0" w:color="000000"/>
            </w:tcBorders>
          </w:tcPr>
          <w:p w:rsidR="002F1583" w:rsidRDefault="00722128" w:rsidP="00A25128">
            <w:pPr>
              <w:jc w:val="right"/>
            </w:pPr>
            <w:r>
              <w:rPr>
                <w:b/>
              </w:rPr>
              <w:t>CC-23-</w:t>
            </w:r>
            <w:r w:rsidR="00176FA8">
              <w:rPr>
                <w:b/>
              </w:rPr>
              <w:t>1</w:t>
            </w:r>
            <w:r w:rsidR="00A25128">
              <w:rPr>
                <w:b/>
              </w:rPr>
              <w:t>30</w:t>
            </w:r>
          </w:p>
        </w:tc>
      </w:tr>
    </w:tbl>
    <w:p w:rsidR="002F1583" w:rsidRDefault="002F1583"/>
    <w:p w:rsidR="00176FA8" w:rsidRDefault="00176FA8" w:rsidP="00176FA8">
      <w:pPr>
        <w:jc w:val="center"/>
        <w:rPr>
          <w:b/>
        </w:rPr>
      </w:pPr>
      <w:r w:rsidRPr="00176FA8">
        <w:rPr>
          <w:b/>
        </w:rPr>
        <w:t xml:space="preserve">Ordinance 23-24, An Ordinance of the City Council of Homer, Alaska Amending the City of Homer Water and Sewer Rates and Updating the Fee Schedule Accordingly. </w:t>
      </w:r>
    </w:p>
    <w:p w:rsidR="00A340CB" w:rsidRDefault="00176FA8" w:rsidP="00176FA8">
      <w:pPr>
        <w:jc w:val="center"/>
        <w:rPr>
          <w:b/>
        </w:rPr>
      </w:pPr>
      <w:r w:rsidRPr="00176FA8">
        <w:rPr>
          <w:b/>
        </w:rPr>
        <w:t>City Manager/Finance Director.</w:t>
      </w:r>
    </w:p>
    <w:p w:rsidR="00330AC2" w:rsidRPr="00176FA8" w:rsidRDefault="00330AC2" w:rsidP="00176FA8">
      <w:pPr>
        <w:jc w:val="center"/>
        <w:rPr>
          <w:b/>
        </w:rPr>
      </w:pPr>
    </w:p>
    <w:tbl>
      <w:tblPr>
        <w:tblW w:w="10080" w:type="dxa"/>
        <w:tblBorders>
          <w:bottom w:val="single" w:sz="6" w:space="0" w:color="000000"/>
        </w:tblBorders>
        <w:tblLook w:val="04A0" w:firstRow="1" w:lastRow="0" w:firstColumn="1" w:lastColumn="0" w:noHBand="0" w:noVBand="1"/>
      </w:tblPr>
      <w:tblGrid>
        <w:gridCol w:w="1800"/>
        <w:gridCol w:w="8280"/>
      </w:tblGrid>
      <w:tr w:rsidR="002F1583" w:rsidTr="00E82F13">
        <w:tc>
          <w:tcPr>
            <w:tcW w:w="1800" w:type="dxa"/>
          </w:tcPr>
          <w:p w:rsidR="002F1583" w:rsidRDefault="00E82F13">
            <w:pPr>
              <w:spacing w:after="120"/>
              <w:ind w:left="-115"/>
            </w:pPr>
            <w:bookmarkStart w:id="0" w:name="TemplateTable-8"/>
            <w:bookmarkEnd w:id="0"/>
            <w:r>
              <w:rPr>
                <w:b/>
              </w:rPr>
              <w:t>Item Type:</w:t>
            </w:r>
          </w:p>
        </w:tc>
        <w:tc>
          <w:tcPr>
            <w:tcW w:w="8280" w:type="dxa"/>
          </w:tcPr>
          <w:p w:rsidR="002F1583" w:rsidRDefault="00176FA8" w:rsidP="00176FA8">
            <w:pPr>
              <w:spacing w:after="120"/>
              <w:ind w:left="-50"/>
            </w:pPr>
            <w:r>
              <w:t xml:space="preserve">Backup </w:t>
            </w:r>
            <w:r w:rsidR="006A7E97">
              <w:t>Memorandum</w:t>
            </w:r>
          </w:p>
        </w:tc>
      </w:tr>
      <w:tr w:rsidR="002F1583" w:rsidTr="00E82F13">
        <w:tc>
          <w:tcPr>
            <w:tcW w:w="1800" w:type="dxa"/>
          </w:tcPr>
          <w:p w:rsidR="002F1583" w:rsidRDefault="00E82F13">
            <w:pPr>
              <w:spacing w:after="120"/>
              <w:ind w:left="-115"/>
            </w:pPr>
            <w:bookmarkStart w:id="1" w:name="TemplateTable-11"/>
            <w:bookmarkEnd w:id="1"/>
            <w:r>
              <w:rPr>
                <w:b/>
              </w:rPr>
              <w:t>Prepared For:</w:t>
            </w:r>
          </w:p>
        </w:tc>
        <w:tc>
          <w:tcPr>
            <w:tcW w:w="8280" w:type="dxa"/>
          </w:tcPr>
          <w:p w:rsidR="002F1583" w:rsidRDefault="006A7E97" w:rsidP="00722128">
            <w:pPr>
              <w:spacing w:after="120"/>
              <w:ind w:left="-50"/>
            </w:pPr>
            <w:r>
              <w:t xml:space="preserve">Mayor Castner and Homer City Council </w:t>
            </w:r>
          </w:p>
        </w:tc>
      </w:tr>
      <w:tr w:rsidR="002F1583" w:rsidTr="00E82F13">
        <w:tc>
          <w:tcPr>
            <w:tcW w:w="1800" w:type="dxa"/>
          </w:tcPr>
          <w:p w:rsidR="002F1583" w:rsidRDefault="00E82F13">
            <w:pPr>
              <w:spacing w:after="120"/>
              <w:ind w:left="-115"/>
            </w:pPr>
            <w:bookmarkStart w:id="2" w:name="TemplateTable-14"/>
            <w:bookmarkEnd w:id="2"/>
            <w:r>
              <w:rPr>
                <w:b/>
              </w:rPr>
              <w:t>Meeting Date:</w:t>
            </w:r>
          </w:p>
        </w:tc>
        <w:tc>
          <w:tcPr>
            <w:tcW w:w="8280" w:type="dxa"/>
          </w:tcPr>
          <w:p w:rsidR="002F1583" w:rsidRDefault="00176FA8" w:rsidP="00722128">
            <w:pPr>
              <w:spacing w:after="120"/>
              <w:ind w:left="-50"/>
            </w:pPr>
            <w:r>
              <w:t>08 May 2023</w:t>
            </w:r>
          </w:p>
        </w:tc>
      </w:tr>
      <w:tr w:rsidR="002F1583" w:rsidTr="00E82F13">
        <w:tc>
          <w:tcPr>
            <w:tcW w:w="1800" w:type="dxa"/>
          </w:tcPr>
          <w:p w:rsidR="002F1583" w:rsidRDefault="00A340CB" w:rsidP="00A340CB">
            <w:pPr>
              <w:spacing w:after="120"/>
              <w:ind w:left="-115"/>
            </w:pPr>
            <w:bookmarkStart w:id="3" w:name="TemplateTable-17"/>
            <w:bookmarkStart w:id="4" w:name="TemplateTable-20"/>
            <w:bookmarkEnd w:id="3"/>
            <w:bookmarkEnd w:id="4"/>
            <w:r>
              <w:rPr>
                <w:b/>
              </w:rPr>
              <w:t>From</w:t>
            </w:r>
            <w:r w:rsidR="00E82F13">
              <w:rPr>
                <w:b/>
              </w:rPr>
              <w:t>:</w:t>
            </w:r>
          </w:p>
        </w:tc>
        <w:tc>
          <w:tcPr>
            <w:tcW w:w="8280" w:type="dxa"/>
          </w:tcPr>
          <w:p w:rsidR="002F1583" w:rsidRDefault="00A25128" w:rsidP="00722128">
            <w:pPr>
              <w:spacing w:after="120"/>
              <w:ind w:left="-50"/>
            </w:pPr>
            <w:r>
              <w:t>Janette Keiser, PE, Director of Public Works/City Engineer</w:t>
            </w:r>
          </w:p>
        </w:tc>
      </w:tr>
      <w:tr w:rsidR="00176FA8" w:rsidTr="00E82F13">
        <w:tc>
          <w:tcPr>
            <w:tcW w:w="1800" w:type="dxa"/>
          </w:tcPr>
          <w:p w:rsidR="00176FA8" w:rsidRDefault="00176FA8" w:rsidP="00A340CB">
            <w:pPr>
              <w:spacing w:after="120"/>
              <w:ind w:left="-115"/>
              <w:rPr>
                <w:b/>
              </w:rPr>
            </w:pPr>
            <w:r>
              <w:rPr>
                <w:b/>
              </w:rPr>
              <w:t>Through:</w:t>
            </w:r>
          </w:p>
        </w:tc>
        <w:tc>
          <w:tcPr>
            <w:tcW w:w="8280" w:type="dxa"/>
          </w:tcPr>
          <w:p w:rsidR="00176FA8" w:rsidRDefault="00176FA8" w:rsidP="00722128">
            <w:pPr>
              <w:spacing w:after="120"/>
              <w:ind w:left="-50"/>
            </w:pPr>
            <w:r>
              <w:t xml:space="preserve">Rob </w:t>
            </w:r>
            <w:proofErr w:type="spellStart"/>
            <w:r>
              <w:t>Dumouchel</w:t>
            </w:r>
            <w:proofErr w:type="spellEnd"/>
            <w:r>
              <w:t>, City Manager</w:t>
            </w:r>
          </w:p>
        </w:tc>
      </w:tr>
    </w:tbl>
    <w:p w:rsidR="002D1DD3" w:rsidRDefault="002D1DD3" w:rsidP="002D1DD3">
      <w:pPr>
        <w:pStyle w:val="NoSpacing"/>
        <w:ind w:right="360"/>
        <w:rPr>
          <w:rFonts w:ascii="Source Sans Pro" w:eastAsia="Times New Roman" w:hAnsi="Source Sans Pro" w:cs="Source Sans Pro"/>
          <w:sz w:val="24"/>
          <w:szCs w:val="24"/>
          <w:lang w:bidi="en-US"/>
        </w:rPr>
      </w:pPr>
      <w:bookmarkStart w:id="5" w:name="TemplateTable-23"/>
      <w:bookmarkEnd w:id="5"/>
    </w:p>
    <w:p w:rsidR="00A25128" w:rsidRPr="00E56087" w:rsidRDefault="00A25128" w:rsidP="00A25128">
      <w:pPr>
        <w:spacing w:after="160" w:line="259" w:lineRule="auto"/>
        <w:jc w:val="both"/>
      </w:pPr>
      <w:r w:rsidRPr="007A2E1C">
        <w:rPr>
          <w:b/>
        </w:rPr>
        <w:t xml:space="preserve">Issue:  </w:t>
      </w:r>
      <w:r>
        <w:rPr>
          <w:b/>
        </w:rPr>
        <w:t xml:space="preserve"> </w:t>
      </w:r>
      <w:r>
        <w:t>I will be out of town for the May 8, 2023 City Council meeting, when the public hearing and second reading of Ordinance 23-24 adopting Homer’s FY 24/25 Water and Sewer Rates takes place.  This Memorandum addresses questions raised at the April 24 Council meeting.</w:t>
      </w:r>
    </w:p>
    <w:p w:rsidR="00A25128" w:rsidRDefault="00A25128" w:rsidP="00A25128">
      <w:pPr>
        <w:tabs>
          <w:tab w:val="left" w:pos="2085"/>
        </w:tabs>
        <w:jc w:val="both"/>
      </w:pPr>
      <w:r w:rsidRPr="004E53CC">
        <w:rPr>
          <w:b/>
        </w:rPr>
        <w:t>Question/Comment:</w:t>
      </w:r>
      <w:r>
        <w:t xml:space="preserve">  We need to amend the Financial Policies when we address the budget.</w:t>
      </w:r>
    </w:p>
    <w:p w:rsidR="00A25128" w:rsidRDefault="00A25128" w:rsidP="00A25128">
      <w:pPr>
        <w:tabs>
          <w:tab w:val="left" w:pos="2085"/>
        </w:tabs>
        <w:jc w:val="both"/>
      </w:pPr>
    </w:p>
    <w:p w:rsidR="00A25128" w:rsidRDefault="00A25128" w:rsidP="00A25128">
      <w:pPr>
        <w:tabs>
          <w:tab w:val="left" w:pos="2085"/>
        </w:tabs>
        <w:jc w:val="both"/>
      </w:pPr>
      <w:r w:rsidRPr="004E53CC">
        <w:rPr>
          <w:b/>
        </w:rPr>
        <w:t>Response:</w:t>
      </w:r>
      <w:r>
        <w:t xml:space="preserve">  We have submitted for your consideration at the May 8 meeting, a Resolution amending the Water and Sewer Utility Financial and Rate Setting Policies to conform to the recommendations we’ve incorporated into the FY 24/25 Rates and Operating Budget.  </w:t>
      </w:r>
    </w:p>
    <w:p w:rsidR="00A25128" w:rsidRDefault="00A25128" w:rsidP="00A25128">
      <w:pPr>
        <w:tabs>
          <w:tab w:val="left" w:pos="2085"/>
        </w:tabs>
        <w:jc w:val="both"/>
      </w:pPr>
    </w:p>
    <w:p w:rsidR="00A25128" w:rsidRDefault="00A25128" w:rsidP="00A25128">
      <w:pPr>
        <w:tabs>
          <w:tab w:val="left" w:pos="2085"/>
        </w:tabs>
        <w:jc w:val="both"/>
      </w:pPr>
      <w:r w:rsidRPr="00EE087B">
        <w:rPr>
          <w:b/>
        </w:rPr>
        <w:t>Question/Comment:</w:t>
      </w:r>
      <w:r>
        <w:t xml:space="preserve">  How does the Bulk Water Rate work and what is it based on?</w:t>
      </w:r>
    </w:p>
    <w:p w:rsidR="00A25128" w:rsidRDefault="00A25128" w:rsidP="00A25128">
      <w:pPr>
        <w:tabs>
          <w:tab w:val="left" w:pos="2085"/>
        </w:tabs>
        <w:jc w:val="both"/>
      </w:pPr>
    </w:p>
    <w:p w:rsidR="00A25128" w:rsidRDefault="00A25128" w:rsidP="00A25128">
      <w:pPr>
        <w:tabs>
          <w:tab w:val="left" w:pos="2085"/>
        </w:tabs>
        <w:jc w:val="both"/>
      </w:pPr>
      <w:r w:rsidRPr="00EE087B">
        <w:rPr>
          <w:b/>
        </w:rPr>
        <w:t>Response:</w:t>
      </w:r>
      <w:r>
        <w:t xml:space="preserve">  The Bulk Water Rate is paid by bulk water customers in addition to the regular water rate.  The Bulk Water Rate was derived by the 2013 Task Force.  It was a way for the 2013 Task Force to build equity into the Rate Model, which was an important goal.  For example, many regular customers pay an assessment that covers their share of costs for distribution lines serving their neighborhood.  Bulk water users haven’t been assessed any costs for their share of distribution lines/facilities from which their bulk water flows.  The Bulk Water Rate is one way to equitably charge such users for costs of distribution infrastructure.  </w:t>
      </w:r>
    </w:p>
    <w:p w:rsidR="00A25128" w:rsidRDefault="00A25128" w:rsidP="00A25128">
      <w:pPr>
        <w:tabs>
          <w:tab w:val="left" w:pos="2085"/>
        </w:tabs>
        <w:jc w:val="both"/>
      </w:pPr>
    </w:p>
    <w:p w:rsidR="00A25128" w:rsidRDefault="00A25128" w:rsidP="00A25128">
      <w:pPr>
        <w:tabs>
          <w:tab w:val="left" w:pos="2085"/>
        </w:tabs>
        <w:jc w:val="both"/>
      </w:pPr>
      <w:r w:rsidRPr="007F1290">
        <w:rPr>
          <w:b/>
        </w:rPr>
        <w:t>Question/Comment:</w:t>
      </w:r>
      <w:r>
        <w:t xml:space="preserve">  What is the quantity of water generated vs the quantity of water sold?</w:t>
      </w:r>
    </w:p>
    <w:p w:rsidR="00A25128" w:rsidRDefault="00A25128" w:rsidP="00A25128">
      <w:pPr>
        <w:tabs>
          <w:tab w:val="left" w:pos="2085"/>
        </w:tabs>
        <w:jc w:val="both"/>
      </w:pPr>
    </w:p>
    <w:p w:rsidR="00A25128" w:rsidRDefault="00A25128" w:rsidP="00A25128">
      <w:pPr>
        <w:tabs>
          <w:tab w:val="left" w:pos="2085"/>
        </w:tabs>
        <w:jc w:val="both"/>
      </w:pPr>
      <w:r w:rsidRPr="007F1290">
        <w:rPr>
          <w:b/>
        </w:rPr>
        <w:t>Response:</w:t>
      </w:r>
      <w:r>
        <w:t xml:space="preserve">  We generate 4.5% more water than we sell.  This 4.5% represents water that is used in the operation and maintenance of the system, hydrant flushing for example.  The EPA reports that, on the </w:t>
      </w:r>
      <w:r>
        <w:lastRenderedPageBreak/>
        <w:t>national average, 14% of water treated by water systems is lost to leaks alone.  We monitor our system for evidence of leaks so we can repair them as fast as possible.</w:t>
      </w:r>
    </w:p>
    <w:p w:rsidR="00A25128" w:rsidRDefault="00A25128" w:rsidP="00A25128">
      <w:pPr>
        <w:tabs>
          <w:tab w:val="left" w:pos="2085"/>
        </w:tabs>
        <w:jc w:val="both"/>
      </w:pPr>
    </w:p>
    <w:p w:rsidR="00A25128" w:rsidRDefault="00A25128" w:rsidP="00A25128">
      <w:pPr>
        <w:tabs>
          <w:tab w:val="left" w:pos="2085"/>
        </w:tabs>
        <w:jc w:val="both"/>
      </w:pPr>
      <w:r w:rsidRPr="007F1290">
        <w:rPr>
          <w:b/>
        </w:rPr>
        <w:t>Question/Comment:</w:t>
      </w:r>
      <w:r>
        <w:t xml:space="preserve">  Is it time to re-visit the Rate Model?</w:t>
      </w:r>
    </w:p>
    <w:p w:rsidR="00A25128" w:rsidRDefault="00A25128" w:rsidP="00A25128">
      <w:pPr>
        <w:tabs>
          <w:tab w:val="left" w:pos="2085"/>
        </w:tabs>
        <w:jc w:val="both"/>
      </w:pPr>
    </w:p>
    <w:p w:rsidR="00A25128" w:rsidRPr="0032581F" w:rsidRDefault="00A25128" w:rsidP="00A25128">
      <w:pPr>
        <w:tabs>
          <w:tab w:val="left" w:pos="2085"/>
        </w:tabs>
        <w:jc w:val="both"/>
      </w:pPr>
      <w:r w:rsidRPr="007F1290">
        <w:rPr>
          <w:b/>
        </w:rPr>
        <w:t>Response:</w:t>
      </w:r>
      <w:r>
        <w:t xml:space="preserve">  The Utility Financial Policies state the City will review the Rate Model every five years, so we are past due.  However, we recommend that for this year, we focus on stabilizing the Rate Model by re-establishing the 15% capital fee and adjusting the way the Fund Balance is treated.  Next year, we can review the Rate Model and fine tune some of the nuances, such as the way multi-family units are charged, the bulk rate, etc.</w:t>
      </w:r>
    </w:p>
    <w:p w:rsidR="003A6BF1" w:rsidRDefault="003A6BF1" w:rsidP="00A25128">
      <w:pPr>
        <w:ind w:right="720"/>
        <w:jc w:val="both"/>
      </w:pPr>
    </w:p>
    <w:sectPr w:rsidR="003A6BF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AD" w:rsidRDefault="00E82F13">
      <w:pPr>
        <w:spacing w:after="0"/>
      </w:pPr>
      <w:r>
        <w:separator/>
      </w:r>
    </w:p>
  </w:endnote>
  <w:endnote w:type="continuationSeparator" w:id="0">
    <w:p w:rsidR="00FB34AD" w:rsidRDefault="00E82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F9" w:rsidRDefault="00D66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F9" w:rsidRDefault="00D66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F9" w:rsidRDefault="00D6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AD" w:rsidRDefault="00E82F13">
      <w:pPr>
        <w:spacing w:after="0"/>
      </w:pPr>
      <w:r>
        <w:separator/>
      </w:r>
    </w:p>
  </w:footnote>
  <w:footnote w:type="continuationSeparator" w:id="0">
    <w:p w:rsidR="00FB34AD" w:rsidRDefault="00E82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Borders>
        <w:top w:val="single" w:sz="6" w:space="0" w:color="000000"/>
      </w:tblBorders>
      <w:tblLook w:val="04A0" w:firstRow="1" w:lastRow="0" w:firstColumn="1" w:lastColumn="0" w:noHBand="0" w:noVBand="1"/>
    </w:tblPr>
    <w:tblGrid>
      <w:gridCol w:w="5040"/>
      <w:gridCol w:w="5040"/>
    </w:tblGrid>
    <w:tr w:rsidR="002F1583">
      <w:tc>
        <w:tcPr>
          <w:tcW w:w="5040" w:type="dxa"/>
        </w:tcPr>
        <w:p w:rsidR="002F1583" w:rsidRDefault="00E82F13">
          <w:r>
            <w:rPr>
              <w:sz w:val="20"/>
              <w:szCs w:val="20"/>
            </w:rPr>
            <w:t>Agenda Item Report</w:t>
          </w:r>
        </w:p>
        <w:p w:rsidR="002F1583" w:rsidRDefault="00E82F13">
          <w:r>
            <w:rPr>
              <w:sz w:val="20"/>
              <w:szCs w:val="20"/>
            </w:rPr>
            <w:t xml:space="preserve"> City Council </w:t>
          </w:r>
        </w:p>
        <w:p w:rsidR="002F1583" w:rsidRDefault="00E82F13">
          <w:r>
            <w:rPr>
              <w:sz w:val="20"/>
              <w:szCs w:val="20"/>
            </w:rPr>
            <w:t>February 27, 2023</w:t>
          </w:r>
        </w:p>
      </w:tc>
      <w:tc>
        <w:tcPr>
          <w:tcW w:w="5040" w:type="dxa"/>
        </w:tcPr>
        <w:p w:rsidR="002F1583" w:rsidRDefault="00E82F13">
          <w:pPr>
            <w:jc w:val="right"/>
          </w:pPr>
          <w:r>
            <w:rPr>
              <w:sz w:val="20"/>
              <w:szCs w:val="20"/>
            </w:rPr>
            <w:t>CC-23-057</w:t>
          </w:r>
        </w:p>
      </w:tc>
    </w:tr>
  </w:tbl>
  <w:p w:rsidR="002F1583" w:rsidRDefault="002F15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Borders>
        <w:top w:val="single" w:sz="6" w:space="0" w:color="000000"/>
      </w:tblBorders>
      <w:tblLook w:val="04A0" w:firstRow="1" w:lastRow="0" w:firstColumn="1" w:lastColumn="0" w:noHBand="0" w:noVBand="1"/>
    </w:tblPr>
    <w:tblGrid>
      <w:gridCol w:w="5040"/>
      <w:gridCol w:w="5040"/>
    </w:tblGrid>
    <w:tr w:rsidR="002F1583">
      <w:tc>
        <w:tcPr>
          <w:tcW w:w="5040" w:type="dxa"/>
        </w:tcPr>
        <w:p w:rsidR="002F1583" w:rsidRDefault="00E82F13">
          <w:bookmarkStart w:id="6" w:name="Item8288"/>
          <w:bookmarkStart w:id="7" w:name="TemplateTable-2"/>
          <w:bookmarkEnd w:id="6"/>
          <w:bookmarkEnd w:id="7"/>
          <w:r>
            <w:rPr>
              <w:sz w:val="20"/>
              <w:szCs w:val="20"/>
            </w:rPr>
            <w:t>Agenda Item Report</w:t>
          </w:r>
        </w:p>
        <w:p w:rsidR="002F1583" w:rsidRDefault="00E82F13">
          <w:r>
            <w:rPr>
              <w:sz w:val="20"/>
              <w:szCs w:val="20"/>
            </w:rPr>
            <w:t xml:space="preserve">City Council </w:t>
          </w:r>
        </w:p>
        <w:p w:rsidR="002F1583" w:rsidRDefault="00D668F9">
          <w:r>
            <w:rPr>
              <w:sz w:val="20"/>
              <w:szCs w:val="20"/>
            </w:rPr>
            <w:t xml:space="preserve">May </w:t>
          </w:r>
          <w:r w:rsidR="00017552">
            <w:rPr>
              <w:sz w:val="20"/>
              <w:szCs w:val="20"/>
            </w:rPr>
            <w:t>8</w:t>
          </w:r>
          <w:r w:rsidR="00E82F13">
            <w:rPr>
              <w:sz w:val="20"/>
              <w:szCs w:val="20"/>
            </w:rPr>
            <w:t>, 2023</w:t>
          </w:r>
        </w:p>
      </w:tc>
      <w:tc>
        <w:tcPr>
          <w:tcW w:w="5040" w:type="dxa"/>
        </w:tcPr>
        <w:p w:rsidR="002F1583" w:rsidRDefault="00722128" w:rsidP="00D668F9">
          <w:pPr>
            <w:jc w:val="right"/>
          </w:pPr>
          <w:r>
            <w:rPr>
              <w:sz w:val="20"/>
              <w:szCs w:val="20"/>
            </w:rPr>
            <w:t>CC-23-</w:t>
          </w:r>
          <w:r w:rsidR="00D668F9">
            <w:rPr>
              <w:sz w:val="20"/>
              <w:szCs w:val="20"/>
            </w:rPr>
            <w:t>130</w:t>
          </w:r>
          <w:bookmarkStart w:id="8" w:name="_GoBack"/>
          <w:bookmarkEnd w:id="8"/>
        </w:p>
      </w:tc>
    </w:tr>
  </w:tbl>
  <w:p w:rsidR="002F1583" w:rsidRDefault="002F15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F9" w:rsidRDefault="00D6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17C3A"/>
    <w:multiLevelType w:val="hybridMultilevel"/>
    <w:tmpl w:val="9340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5BFE4"/>
    <w:multiLevelType w:val="hybridMultilevel"/>
    <w:tmpl w:val="C2DE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10CA0"/>
    <w:multiLevelType w:val="hybridMultilevel"/>
    <w:tmpl w:val="B542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0F2471"/>
    <w:multiLevelType w:val="hybridMultilevel"/>
    <w:tmpl w:val="9570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DA"/>
    <w:rsid w:val="00017552"/>
    <w:rsid w:val="00176FA8"/>
    <w:rsid w:val="001D2939"/>
    <w:rsid w:val="002D1DD3"/>
    <w:rsid w:val="002F1583"/>
    <w:rsid w:val="00330AC2"/>
    <w:rsid w:val="003A5EEB"/>
    <w:rsid w:val="003A6BF1"/>
    <w:rsid w:val="006A7E97"/>
    <w:rsid w:val="00722128"/>
    <w:rsid w:val="007F0355"/>
    <w:rsid w:val="008A198D"/>
    <w:rsid w:val="00A25128"/>
    <w:rsid w:val="00A340CB"/>
    <w:rsid w:val="00AF59E2"/>
    <w:rsid w:val="00B02EDA"/>
    <w:rsid w:val="00C075CF"/>
    <w:rsid w:val="00CA351D"/>
    <w:rsid w:val="00CF680A"/>
    <w:rsid w:val="00D668F9"/>
    <w:rsid w:val="00DD5267"/>
    <w:rsid w:val="00E82F13"/>
    <w:rsid w:val="00EE47B0"/>
    <w:rsid w:val="00F21B41"/>
    <w:rsid w:val="00FB34AD"/>
  </w:rsids>
  <m:mathPr>
    <m:mathFont m:val="Cambria Math"/>
    <m:brkBin m:val="before"/>
    <m:brkBinSub m:val="--"/>
    <m:smallFrac m:val="0"/>
    <m:dispDef/>
    <m:lMargin m:val="0"/>
    <m:rMargin m:val="0"/>
    <m:defJc m:val="centerGroup"/>
    <m:wrapIndent m:val="1440"/>
    <m:intLim m:val="subSup"/>
    <m:naryLim m:val="undOvr"/>
  </m:mathPr>
  <w:themeFontLang w:val="en-US" w:eastAsia="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5CC1"/>
  <w15:docId w15:val="{8EDD7634-21DD-4A8C-9363-6EB1839A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imes New Roman" w:hAnsi="Source Sans Pro" w:cs="Source Sans Pro"/>
        <w:sz w:val="24"/>
        <w:szCs w:val="24"/>
        <w:lang w:val="en-US" w:eastAsia="en-US" w:bidi="en-US"/>
      </w:rPr>
    </w:rPrDefault>
    <w:pPrDefault>
      <w:pPr>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722128"/>
    <w:pPr>
      <w:tabs>
        <w:tab w:val="center" w:pos="4680"/>
        <w:tab w:val="right" w:pos="9360"/>
      </w:tabs>
      <w:spacing w:after="0"/>
    </w:pPr>
  </w:style>
  <w:style w:type="character" w:customStyle="1" w:styleId="FooterChar">
    <w:name w:val="Footer Char"/>
    <w:basedOn w:val="DefaultParagraphFont"/>
    <w:link w:val="Footer"/>
    <w:uiPriority w:val="99"/>
    <w:rsid w:val="00722128"/>
  </w:style>
  <w:style w:type="paragraph" w:styleId="Header">
    <w:name w:val="header"/>
    <w:basedOn w:val="Normal"/>
    <w:link w:val="HeaderChar"/>
    <w:uiPriority w:val="99"/>
    <w:unhideWhenUsed/>
    <w:rsid w:val="00722128"/>
    <w:pPr>
      <w:tabs>
        <w:tab w:val="center" w:pos="4680"/>
        <w:tab w:val="right" w:pos="9360"/>
      </w:tabs>
      <w:spacing w:after="0"/>
    </w:pPr>
  </w:style>
  <w:style w:type="character" w:customStyle="1" w:styleId="HeaderChar">
    <w:name w:val="Header Char"/>
    <w:basedOn w:val="DefaultParagraphFont"/>
    <w:link w:val="Header"/>
    <w:uiPriority w:val="99"/>
    <w:rsid w:val="00722128"/>
  </w:style>
  <w:style w:type="paragraph" w:styleId="ListParagraph">
    <w:name w:val="List Paragraph"/>
    <w:basedOn w:val="Normal"/>
    <w:uiPriority w:val="34"/>
    <w:qFormat/>
    <w:rsid w:val="00AF59E2"/>
    <w:pPr>
      <w:ind w:left="720"/>
      <w:contextualSpacing/>
    </w:pPr>
  </w:style>
  <w:style w:type="paragraph" w:styleId="NoSpacing">
    <w:name w:val="No Spacing"/>
    <w:uiPriority w:val="1"/>
    <w:qFormat/>
    <w:rsid w:val="003A6BF1"/>
    <w:pPr>
      <w:spacing w:after="0"/>
      <w:jc w:val="both"/>
    </w:pPr>
    <w:rPr>
      <w:rFonts w:ascii="Trebuchet MS" w:eastAsia="Calibri" w:hAnsi="Trebuchet MS"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Rachel Tussey</dc:creator>
  <cp:keywords>iCompass-Open-Document</cp:keywords>
  <dc:description/>
  <cp:lastModifiedBy>Melissa Jacobsen</cp:lastModifiedBy>
  <cp:revision>4</cp:revision>
  <dcterms:created xsi:type="dcterms:W3CDTF">2023-05-05T17:27:00Z</dcterms:created>
  <dcterms:modified xsi:type="dcterms:W3CDTF">2023-05-05T17:29:00Z</dcterms:modified>
  <cp:category>iCompass-Open-Document</cp:category>
</cp:coreProperties>
</file>