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ook w:val="04A0" w:firstRow="1" w:lastRow="0" w:firstColumn="1" w:lastColumn="0" w:noHBand="0" w:noVBand="1"/>
      </w:tblPr>
      <w:tblGrid>
        <w:gridCol w:w="1521"/>
        <w:gridCol w:w="5363"/>
        <w:gridCol w:w="3196"/>
      </w:tblGrid>
      <w:tr w:rsidR="002F1583" w:rsidRPr="008245A4" w14:paraId="7C6DC8AD" w14:textId="77777777">
        <w:tc>
          <w:tcPr>
            <w:tcW w:w="1440" w:type="dxa"/>
          </w:tcPr>
          <w:p w14:paraId="7861806F" w14:textId="77777777" w:rsidR="002F1583" w:rsidRPr="008245A4" w:rsidRDefault="00E82F13">
            <w:r w:rsidRPr="008245A4">
              <w:rPr>
                <w:noProof/>
                <w:lang w:bidi="ar-SA"/>
              </w:rPr>
              <w:drawing>
                <wp:inline distT="0" distB="0" distL="0" distR="0" wp14:anchorId="3C8D8553" wp14:editId="1C409659">
                  <wp:extent cx="828675" cy="723900"/>
                  <wp:effectExtent l="0" t="0" r="0" b="0"/>
                  <wp:docPr id="1" name="graylogo2" descr="city of homer logo" title="city of hom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ylogo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bottom w:val="single" w:sz="24" w:space="0" w:color="000000"/>
            </w:tcBorders>
            <w:vAlign w:val="center"/>
          </w:tcPr>
          <w:p w14:paraId="4F8924A0" w14:textId="77777777" w:rsidR="002F1583" w:rsidRPr="008245A4" w:rsidRDefault="00337E56" w:rsidP="00337E56">
            <w:r w:rsidRPr="008245A4">
              <w:rPr>
                <w:b/>
                <w:sz w:val="44"/>
                <w:szCs w:val="44"/>
              </w:rPr>
              <w:t>MEMORANDUM</w:t>
            </w:r>
          </w:p>
        </w:tc>
        <w:tc>
          <w:tcPr>
            <w:tcW w:w="3240" w:type="dxa"/>
            <w:tcBorders>
              <w:bottom w:val="single" w:sz="24" w:space="0" w:color="000000"/>
            </w:tcBorders>
          </w:tcPr>
          <w:p w14:paraId="5B4EE32B" w14:textId="3D50A392" w:rsidR="002F1583" w:rsidRPr="008245A4" w:rsidRDefault="009951A8" w:rsidP="00CA1DCA">
            <w:pPr>
              <w:jc w:val="right"/>
            </w:pPr>
            <w:r>
              <w:rPr>
                <w:b/>
              </w:rPr>
              <w:t>CC</w:t>
            </w:r>
            <w:r w:rsidR="003725EC" w:rsidRPr="008245A4">
              <w:rPr>
                <w:b/>
              </w:rPr>
              <w:t>-2</w:t>
            </w:r>
            <w:r>
              <w:rPr>
                <w:b/>
              </w:rPr>
              <w:t>6</w:t>
            </w:r>
            <w:r w:rsidR="00722128" w:rsidRPr="008245A4">
              <w:rPr>
                <w:b/>
              </w:rPr>
              <w:t>-</w:t>
            </w:r>
            <w:r w:rsidR="00A51966">
              <w:rPr>
                <w:b/>
              </w:rPr>
              <w:t>017</w:t>
            </w:r>
          </w:p>
        </w:tc>
      </w:tr>
    </w:tbl>
    <w:p w14:paraId="1AB88FCF" w14:textId="77777777" w:rsidR="002F1583" w:rsidRPr="008245A4" w:rsidRDefault="002F1583"/>
    <w:p w14:paraId="08DE8FDD" w14:textId="6C18C586" w:rsidR="002F1ECE" w:rsidRPr="002F1ECE" w:rsidRDefault="0099115E" w:rsidP="002F1ECE">
      <w:pPr>
        <w:jc w:val="center"/>
        <w:rPr>
          <w:rFonts w:eastAsia="Source Sans Pro"/>
          <w:b/>
          <w:sz w:val="22"/>
        </w:rPr>
      </w:pPr>
      <w:r>
        <w:rPr>
          <w:rFonts w:eastAsia="Source Sans Pro"/>
          <w:b/>
          <w:sz w:val="22"/>
        </w:rPr>
        <w:t>Ordinance 26-</w:t>
      </w:r>
      <w:r w:rsidR="00A51966">
        <w:rPr>
          <w:rFonts w:eastAsia="Source Sans Pro"/>
          <w:b/>
          <w:sz w:val="22"/>
        </w:rPr>
        <w:t>07</w:t>
      </w:r>
      <w:r w:rsidR="00BD2A24">
        <w:rPr>
          <w:rFonts w:eastAsia="Source Sans Pro"/>
          <w:b/>
          <w:sz w:val="22"/>
        </w:rPr>
        <w:t>,</w:t>
      </w:r>
      <w:r>
        <w:rPr>
          <w:rFonts w:eastAsia="Source Sans Pro"/>
          <w:b/>
          <w:sz w:val="22"/>
        </w:rPr>
        <w:t xml:space="preserve"> </w:t>
      </w:r>
      <w:r w:rsidRPr="002F1ECE">
        <w:rPr>
          <w:rFonts w:eastAsia="Source Sans Pro"/>
          <w:b/>
          <w:sz w:val="22"/>
        </w:rPr>
        <w:t xml:space="preserve">Adopting the Revised Port </w:t>
      </w:r>
      <w:r>
        <w:rPr>
          <w:rFonts w:eastAsia="Source Sans Pro"/>
          <w:b/>
          <w:sz w:val="22"/>
        </w:rPr>
        <w:t>o</w:t>
      </w:r>
      <w:r w:rsidRPr="002F1ECE">
        <w:rPr>
          <w:rFonts w:eastAsia="Source Sans Pro"/>
          <w:b/>
          <w:sz w:val="22"/>
        </w:rPr>
        <w:t>f Homer Alaska Terminal Tariff No.1</w:t>
      </w:r>
    </w:p>
    <w:p w14:paraId="6541189A" w14:textId="77777777" w:rsidR="007010A4" w:rsidRPr="008245A4" w:rsidRDefault="007010A4"/>
    <w:tbl>
      <w:tblPr>
        <w:tblW w:w="10080" w:type="dxa"/>
        <w:tblBorders>
          <w:bottom w:val="single" w:sz="6" w:space="0" w:color="000000"/>
        </w:tblBorders>
        <w:tblLook w:val="04A0" w:firstRow="1" w:lastRow="0" w:firstColumn="1" w:lastColumn="0" w:noHBand="0" w:noVBand="1"/>
      </w:tblPr>
      <w:tblGrid>
        <w:gridCol w:w="1800"/>
        <w:gridCol w:w="8280"/>
      </w:tblGrid>
      <w:tr w:rsidR="002F1583" w:rsidRPr="008245A4" w14:paraId="7E3409F4" w14:textId="77777777" w:rsidTr="00E82F13">
        <w:tc>
          <w:tcPr>
            <w:tcW w:w="1800" w:type="dxa"/>
          </w:tcPr>
          <w:p w14:paraId="0D59C88E" w14:textId="77777777" w:rsidR="002F1583" w:rsidRPr="008245A4" w:rsidRDefault="00E82F13">
            <w:pPr>
              <w:spacing w:after="120"/>
              <w:ind w:left="-115"/>
            </w:pPr>
            <w:bookmarkStart w:id="0" w:name="TemplateTable-8"/>
            <w:bookmarkEnd w:id="0"/>
            <w:r w:rsidRPr="008245A4">
              <w:rPr>
                <w:b/>
              </w:rPr>
              <w:t>Item Type:</w:t>
            </w:r>
          </w:p>
        </w:tc>
        <w:tc>
          <w:tcPr>
            <w:tcW w:w="8280" w:type="dxa"/>
          </w:tcPr>
          <w:p w14:paraId="486FA5AF" w14:textId="6D979CFF" w:rsidR="002F1583" w:rsidRPr="008245A4" w:rsidRDefault="00CA1DCA" w:rsidP="00722128">
            <w:pPr>
              <w:spacing w:after="120"/>
              <w:ind w:left="-50"/>
            </w:pPr>
            <w:r w:rsidRPr="008245A4">
              <w:t>Action Memorandum</w:t>
            </w:r>
          </w:p>
        </w:tc>
      </w:tr>
      <w:tr w:rsidR="002F1583" w:rsidRPr="008245A4" w14:paraId="001150AE" w14:textId="77777777" w:rsidTr="00E82F13">
        <w:tc>
          <w:tcPr>
            <w:tcW w:w="1800" w:type="dxa"/>
          </w:tcPr>
          <w:p w14:paraId="2D6EDE9C" w14:textId="77777777" w:rsidR="002F1583" w:rsidRPr="008245A4" w:rsidRDefault="00E82F13">
            <w:pPr>
              <w:spacing w:after="120"/>
              <w:ind w:left="-115"/>
            </w:pPr>
            <w:bookmarkStart w:id="1" w:name="TemplateTable-11"/>
            <w:bookmarkEnd w:id="1"/>
            <w:r w:rsidRPr="008245A4">
              <w:rPr>
                <w:b/>
              </w:rPr>
              <w:t>Prepared For:</w:t>
            </w:r>
          </w:p>
        </w:tc>
        <w:tc>
          <w:tcPr>
            <w:tcW w:w="8280" w:type="dxa"/>
          </w:tcPr>
          <w:p w14:paraId="115EE203" w14:textId="5D46D4BE" w:rsidR="002F1583" w:rsidRPr="008245A4" w:rsidRDefault="002F1ECE" w:rsidP="00722128">
            <w:pPr>
              <w:spacing w:after="120"/>
              <w:ind w:left="-50"/>
            </w:pPr>
            <w:r>
              <w:t>City Council</w:t>
            </w:r>
          </w:p>
        </w:tc>
      </w:tr>
      <w:tr w:rsidR="002F1583" w:rsidRPr="008245A4" w14:paraId="198F2FAB" w14:textId="77777777" w:rsidTr="00E82F13">
        <w:tc>
          <w:tcPr>
            <w:tcW w:w="1800" w:type="dxa"/>
          </w:tcPr>
          <w:p w14:paraId="3350D08B" w14:textId="77777777" w:rsidR="002F1583" w:rsidRPr="008245A4" w:rsidRDefault="00E82F13">
            <w:pPr>
              <w:spacing w:after="120"/>
              <w:ind w:left="-115"/>
            </w:pPr>
            <w:bookmarkStart w:id="2" w:name="TemplateTable-14"/>
            <w:bookmarkEnd w:id="2"/>
            <w:r w:rsidRPr="008245A4">
              <w:rPr>
                <w:b/>
              </w:rPr>
              <w:t>Date:</w:t>
            </w:r>
          </w:p>
        </w:tc>
        <w:tc>
          <w:tcPr>
            <w:tcW w:w="8280" w:type="dxa"/>
          </w:tcPr>
          <w:p w14:paraId="3E5D3A37" w14:textId="7F6C0652" w:rsidR="002F1583" w:rsidRPr="008245A4" w:rsidRDefault="00E94A5D" w:rsidP="00337E56">
            <w:pPr>
              <w:spacing w:after="120"/>
              <w:ind w:left="-50"/>
            </w:pPr>
            <w:r>
              <w:t xml:space="preserve">December </w:t>
            </w:r>
            <w:r w:rsidR="002F1ECE">
              <w:t>29</w:t>
            </w:r>
            <w:r w:rsidR="00B1318C" w:rsidRPr="008245A4">
              <w:t>, 2025</w:t>
            </w:r>
          </w:p>
        </w:tc>
      </w:tr>
      <w:tr w:rsidR="002F1583" w:rsidRPr="008245A4" w14:paraId="7FFB8C84" w14:textId="77777777" w:rsidTr="00E82F13">
        <w:tc>
          <w:tcPr>
            <w:tcW w:w="1800" w:type="dxa"/>
          </w:tcPr>
          <w:p w14:paraId="252464E0" w14:textId="77777777" w:rsidR="002F1583" w:rsidRPr="008245A4" w:rsidRDefault="00A340CB" w:rsidP="00A340CB">
            <w:pPr>
              <w:spacing w:after="120"/>
              <w:ind w:left="-115"/>
            </w:pPr>
            <w:bookmarkStart w:id="3" w:name="TemplateTable-17"/>
            <w:bookmarkStart w:id="4" w:name="TemplateTable-20"/>
            <w:bookmarkEnd w:id="3"/>
            <w:bookmarkEnd w:id="4"/>
            <w:r w:rsidRPr="008245A4">
              <w:rPr>
                <w:b/>
              </w:rPr>
              <w:t>From</w:t>
            </w:r>
            <w:r w:rsidR="00E82F13" w:rsidRPr="008245A4">
              <w:rPr>
                <w:b/>
              </w:rPr>
              <w:t>:</w:t>
            </w:r>
          </w:p>
        </w:tc>
        <w:tc>
          <w:tcPr>
            <w:tcW w:w="8280" w:type="dxa"/>
          </w:tcPr>
          <w:p w14:paraId="003EB03C" w14:textId="7E3219A3" w:rsidR="002F1583" w:rsidRPr="008245A4" w:rsidRDefault="009951A8" w:rsidP="00722128">
            <w:pPr>
              <w:spacing w:after="120"/>
              <w:ind w:left="-50"/>
            </w:pPr>
            <w:r w:rsidRPr="008245A4">
              <w:t>Bryan Hawkins, Port Director</w:t>
            </w:r>
          </w:p>
        </w:tc>
      </w:tr>
      <w:tr w:rsidR="00CA1DCA" w:rsidRPr="008245A4" w14:paraId="116010EB" w14:textId="77777777" w:rsidTr="00E82F13">
        <w:tc>
          <w:tcPr>
            <w:tcW w:w="1800" w:type="dxa"/>
          </w:tcPr>
          <w:p w14:paraId="704A8FEC" w14:textId="77777777" w:rsidR="00CA1DCA" w:rsidRPr="008245A4" w:rsidRDefault="00CA1DCA" w:rsidP="00A340CB">
            <w:pPr>
              <w:spacing w:after="120"/>
              <w:ind w:left="-115"/>
              <w:rPr>
                <w:b/>
              </w:rPr>
            </w:pPr>
            <w:r w:rsidRPr="008245A4">
              <w:rPr>
                <w:b/>
              </w:rPr>
              <w:t>Through:</w:t>
            </w:r>
          </w:p>
        </w:tc>
        <w:tc>
          <w:tcPr>
            <w:tcW w:w="8280" w:type="dxa"/>
          </w:tcPr>
          <w:p w14:paraId="77805594" w14:textId="37F4E00A" w:rsidR="00CA1DCA" w:rsidRPr="008245A4" w:rsidRDefault="009951A8" w:rsidP="00722128">
            <w:pPr>
              <w:spacing w:after="120"/>
              <w:ind w:left="-50"/>
            </w:pPr>
            <w:r>
              <w:t>Melissa Jacobsen, City Manager</w:t>
            </w:r>
          </w:p>
        </w:tc>
      </w:tr>
    </w:tbl>
    <w:p w14:paraId="2D75CE7B" w14:textId="77777777" w:rsidR="002D1DD3" w:rsidRPr="008245A4" w:rsidRDefault="002D1DD3" w:rsidP="00E65817">
      <w:bookmarkStart w:id="5" w:name="TemplateTable-23"/>
      <w:bookmarkEnd w:id="5"/>
    </w:p>
    <w:p w14:paraId="08097B7A" w14:textId="6ED2B163" w:rsidR="002F1ECE" w:rsidRDefault="00E65817" w:rsidP="002F1ECE">
      <w:pPr>
        <w:jc w:val="both"/>
      </w:pPr>
      <w:r w:rsidRPr="680E3D72">
        <w:t xml:space="preserve">HCC </w:t>
      </w:r>
      <w:r w:rsidRPr="680E3D72">
        <w:rPr>
          <w:rFonts w:eastAsia="Source Sans Pro"/>
        </w:rPr>
        <w:t>10.04.140</w:t>
      </w:r>
      <w:r>
        <w:rPr>
          <w:rFonts w:eastAsia="Source Sans Pro"/>
        </w:rPr>
        <w:t xml:space="preserve"> </w:t>
      </w:r>
      <w:r>
        <w:t>says “</w:t>
      </w:r>
      <w:r w:rsidRPr="00E65817">
        <w:rPr>
          <w:rFonts w:cs="Times New Roman"/>
          <w:lang w:bidi="ar-SA"/>
        </w:rPr>
        <w:t>An annual review shall be required of all port and harbor rates. Such annual review shall be part of preparation of the port, and charges and harbor fiscal operating budgets.</w:t>
      </w:r>
      <w:r>
        <w:t>”</w:t>
      </w:r>
    </w:p>
    <w:p w14:paraId="034BB9BC" w14:textId="77777777" w:rsidR="008C70E6" w:rsidRDefault="008C70E6" w:rsidP="002F1ECE">
      <w:pPr>
        <w:jc w:val="both"/>
      </w:pPr>
    </w:p>
    <w:p w14:paraId="106E72DD" w14:textId="72BAE4EE" w:rsidR="008C70E6" w:rsidRDefault="008C70E6" w:rsidP="002F1ECE">
      <w:pPr>
        <w:jc w:val="both"/>
      </w:pPr>
      <w:r>
        <w:t>Port staff reviewed the Tariff in full and provided the proposed changes to the Port &amp; Harbor Advisory Commission at the September 24, October 22</w:t>
      </w:r>
      <w:r w:rsidR="00773046">
        <w:t>,</w:t>
      </w:r>
      <w:r w:rsidR="00E94A5D">
        <w:t xml:space="preserve"> and December 10, 2025</w:t>
      </w:r>
      <w:r>
        <w:t xml:space="preserve"> meetings. Discussion of the changes included a comparison of moorage rates across different harbors in Alaska. At the October meeting, the Commission passed a motion to Council recommending that Council adopt the proposed changes to the tariff. </w:t>
      </w:r>
      <w:r w:rsidR="00E94A5D" w:rsidRPr="00A51966">
        <w:t xml:space="preserve">At the December meeting, </w:t>
      </w:r>
      <w:r w:rsidR="009C522A" w:rsidRPr="00A51966">
        <w:t xml:space="preserve">a </w:t>
      </w:r>
      <w:r w:rsidR="00E94A5D" w:rsidRPr="00A51966">
        <w:t xml:space="preserve">motion </w:t>
      </w:r>
      <w:r w:rsidR="009C522A" w:rsidRPr="00A51966">
        <w:t xml:space="preserve">to extend the work skiff exemption for another year </w:t>
      </w:r>
      <w:r w:rsidR="00DB6B52" w:rsidRPr="00A51966">
        <w:t>failed</w:t>
      </w:r>
      <w:r w:rsidR="00E94A5D" w:rsidRPr="00A51966">
        <w:t>.</w:t>
      </w:r>
      <w:r w:rsidR="00E94A5D">
        <w:t xml:space="preserve"> </w:t>
      </w:r>
    </w:p>
    <w:p w14:paraId="751B64B8" w14:textId="09F7F1F2" w:rsidR="00E65817" w:rsidRDefault="00E65817" w:rsidP="002F1ECE">
      <w:pPr>
        <w:jc w:val="both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65817" w14:paraId="7B5FADA3" w14:textId="77777777" w:rsidTr="00E65817">
        <w:tc>
          <w:tcPr>
            <w:tcW w:w="3356" w:type="dxa"/>
          </w:tcPr>
          <w:p w14:paraId="6DBF1804" w14:textId="0CA45536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Section</w:t>
            </w:r>
          </w:p>
        </w:tc>
        <w:tc>
          <w:tcPr>
            <w:tcW w:w="3357" w:type="dxa"/>
          </w:tcPr>
          <w:p w14:paraId="57093E79" w14:textId="3F7C9CDE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Proposed Change</w:t>
            </w:r>
          </w:p>
        </w:tc>
        <w:tc>
          <w:tcPr>
            <w:tcW w:w="3357" w:type="dxa"/>
          </w:tcPr>
          <w:p w14:paraId="18AE8CE3" w14:textId="36D3367B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Reasoning</w:t>
            </w:r>
          </w:p>
        </w:tc>
      </w:tr>
      <w:tr w:rsidR="00E65817" w14:paraId="2C4906E9" w14:textId="77777777" w:rsidTr="00E65817">
        <w:tc>
          <w:tcPr>
            <w:tcW w:w="3356" w:type="dxa"/>
          </w:tcPr>
          <w:p w14:paraId="209549DE" w14:textId="5BCB948F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3.2 Definitions</w:t>
            </w:r>
          </w:p>
        </w:tc>
        <w:tc>
          <w:tcPr>
            <w:tcW w:w="3357" w:type="dxa"/>
          </w:tcPr>
          <w:p w14:paraId="1A3F82AC" w14:textId="10E2ECB1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Add Definition of Ownership Control</w:t>
            </w:r>
          </w:p>
        </w:tc>
        <w:tc>
          <w:tcPr>
            <w:tcW w:w="3357" w:type="dxa"/>
          </w:tcPr>
          <w:p w14:paraId="1184BCBB" w14:textId="7D040525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Clarifies what vessels can be assigned to a reserved stall</w:t>
            </w:r>
          </w:p>
        </w:tc>
      </w:tr>
      <w:tr w:rsidR="00E65817" w14:paraId="674FCBCC" w14:textId="77777777" w:rsidTr="00E65817">
        <w:tc>
          <w:tcPr>
            <w:tcW w:w="3356" w:type="dxa"/>
          </w:tcPr>
          <w:p w14:paraId="089ADC3C" w14:textId="37F76A8D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5.05 Vessel Insurance Requirements</w:t>
            </w:r>
          </w:p>
        </w:tc>
        <w:tc>
          <w:tcPr>
            <w:tcW w:w="3357" w:type="dxa"/>
          </w:tcPr>
          <w:p w14:paraId="37FF9721" w14:textId="5743D355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Change minimum insurance amount for commercial vessels from $1,000,000 to 500,000</w:t>
            </w:r>
          </w:p>
        </w:tc>
        <w:tc>
          <w:tcPr>
            <w:tcW w:w="3357" w:type="dxa"/>
          </w:tcPr>
          <w:p w14:paraId="6355A2B4" w14:textId="475A9544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This requirement is more accessible to vessel owners in certain industries.</w:t>
            </w:r>
          </w:p>
        </w:tc>
      </w:tr>
      <w:tr w:rsidR="00C543A7" w14:paraId="410C963A" w14:textId="77777777" w:rsidTr="00E65817">
        <w:tc>
          <w:tcPr>
            <w:tcW w:w="3356" w:type="dxa"/>
          </w:tcPr>
          <w:p w14:paraId="5CF6AA87" w14:textId="03C04BCD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12 Vehicle Parking</w:t>
            </w:r>
          </w:p>
        </w:tc>
        <w:tc>
          <w:tcPr>
            <w:tcW w:w="3357" w:type="dxa"/>
          </w:tcPr>
          <w:p w14:paraId="7DF8DDD9" w14:textId="69A3022E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Adjust list of permits to remove special weekly and monthly permits for vehicles over 20’ </w:t>
            </w:r>
          </w:p>
        </w:tc>
        <w:tc>
          <w:tcPr>
            <w:tcW w:w="3357" w:type="dxa"/>
          </w:tcPr>
          <w:p w14:paraId="4F63C1BF" w14:textId="64499D8D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This policy is difficult to enforce and does not result in meaningful additional revenue to the facility. Vehicles of any size can now purchase weekly and monthly permits at a standard rate. Annual permits can only be purchased by vehicles of 20’ or less. </w:t>
            </w:r>
          </w:p>
        </w:tc>
      </w:tr>
      <w:tr w:rsidR="00E65817" w14:paraId="644D975C" w14:textId="77777777" w:rsidTr="00E65817">
        <w:tc>
          <w:tcPr>
            <w:tcW w:w="3356" w:type="dxa"/>
          </w:tcPr>
          <w:p w14:paraId="7B4A4D56" w14:textId="16AA0514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lastRenderedPageBreak/>
              <w:t>29 Reserve Stall Assignments in Homer Harbor</w:t>
            </w:r>
          </w:p>
        </w:tc>
        <w:tc>
          <w:tcPr>
            <w:tcW w:w="3357" w:type="dxa"/>
          </w:tcPr>
          <w:p w14:paraId="38A9BAC7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Add Definition of Ownership Control</w:t>
            </w:r>
          </w:p>
          <w:p w14:paraId="6C85E296" w14:textId="1C2E2D9F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Add language regarding sale or assignment of reserved moorage, change written notice to 30 days</w:t>
            </w:r>
          </w:p>
        </w:tc>
        <w:tc>
          <w:tcPr>
            <w:tcW w:w="3357" w:type="dxa"/>
          </w:tcPr>
          <w:p w14:paraId="16515A52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Clarifies what vessels can be assigned to a reserved stall</w:t>
            </w:r>
          </w:p>
          <w:p w14:paraId="6752888E" w14:textId="07CB70E0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Align with updated language on Moorage Permit</w:t>
            </w:r>
          </w:p>
        </w:tc>
      </w:tr>
      <w:tr w:rsidR="00E65817" w14:paraId="22E8D652" w14:textId="77777777" w:rsidTr="00E65817">
        <w:tc>
          <w:tcPr>
            <w:tcW w:w="3356" w:type="dxa"/>
          </w:tcPr>
          <w:p w14:paraId="0FB49438" w14:textId="2A11D65D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32 Small Boat Harbor Electricity</w:t>
            </w:r>
          </w:p>
        </w:tc>
        <w:tc>
          <w:tcPr>
            <w:tcW w:w="3357" w:type="dxa"/>
          </w:tcPr>
          <w:p w14:paraId="1CCC49BE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Update language regarding Winter Power Program to remove connect/disconnect fee</w:t>
            </w:r>
          </w:p>
          <w:p w14:paraId="7FAFD613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1DA6DC1F" w14:textId="523CCD9B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Update System 5 electrical service to remove daily flat rate</w:t>
            </w:r>
          </w:p>
        </w:tc>
        <w:tc>
          <w:tcPr>
            <w:tcW w:w="3357" w:type="dxa"/>
          </w:tcPr>
          <w:p w14:paraId="5A2E4992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Align with current billing practice</w:t>
            </w:r>
          </w:p>
          <w:p w14:paraId="132DE3AD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015CF2DF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25575872" w14:textId="65DDFD9F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Align with current billing practice</w:t>
            </w:r>
          </w:p>
        </w:tc>
      </w:tr>
      <w:tr w:rsidR="00E65817" w14:paraId="4AC86CA3" w14:textId="77777777" w:rsidTr="00E65817">
        <w:tc>
          <w:tcPr>
            <w:tcW w:w="3356" w:type="dxa"/>
          </w:tcPr>
          <w:p w14:paraId="61DBE2A5" w14:textId="6ED692CB" w:rsidR="00E65817" w:rsidRDefault="00C543A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Appendix A </w:t>
            </w:r>
            <w:r w:rsidR="00E65817">
              <w:rPr>
                <w:rFonts w:ascii="Source Sans Pro" w:hAnsi="Source Sans Pro"/>
              </w:rPr>
              <w:t>Fee Schedule</w:t>
            </w:r>
          </w:p>
        </w:tc>
        <w:tc>
          <w:tcPr>
            <w:tcW w:w="3357" w:type="dxa"/>
          </w:tcPr>
          <w:p w14:paraId="21F650E2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Increase Cold Storage rates to 500/month per locker</w:t>
            </w:r>
          </w:p>
          <w:p w14:paraId="1CCCB58B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0C19CA0C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Increase Land Storage rates</w:t>
            </w:r>
          </w:p>
          <w:p w14:paraId="582AEF36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4EB07FBF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1B010F78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</w:p>
          <w:p w14:paraId="41D97464" w14:textId="45200A91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Refine definition of Dry Moorage</w:t>
            </w:r>
          </w:p>
          <w:p w14:paraId="07E5E3A1" w14:textId="77777777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</w:p>
          <w:p w14:paraId="174C947F" w14:textId="3DE6BEC7" w:rsidR="00C543A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Add rate for Empty Drum disposal</w:t>
            </w:r>
            <w:r w:rsidR="00C543A7">
              <w:rPr>
                <w:rFonts w:ascii="Source Sans Pro" w:hAnsi="Source Sans Pro"/>
              </w:rPr>
              <w:br/>
            </w:r>
            <w:r w:rsidR="00C543A7">
              <w:rPr>
                <w:rFonts w:ascii="Source Sans Pro" w:hAnsi="Source Sans Pro"/>
              </w:rPr>
              <w:br/>
            </w:r>
            <w:r w:rsidR="00C543A7">
              <w:rPr>
                <w:rFonts w:ascii="Source Sans Pro" w:hAnsi="Source Sans Pro"/>
              </w:rPr>
              <w:br/>
            </w:r>
            <w:r w:rsidR="00C543A7">
              <w:rPr>
                <w:rFonts w:ascii="Source Sans Pro" w:hAnsi="Source Sans Pro"/>
              </w:rPr>
              <w:br/>
            </w:r>
          </w:p>
          <w:p w14:paraId="4B92C801" w14:textId="6D1D6473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lastRenderedPageBreak/>
              <w:t>Update Commodity rate for moorage</w:t>
            </w:r>
          </w:p>
        </w:tc>
        <w:tc>
          <w:tcPr>
            <w:tcW w:w="3357" w:type="dxa"/>
          </w:tcPr>
          <w:p w14:paraId="01B8A4D5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lastRenderedPageBreak/>
              <w:t>Demand is increasing and these rates have not been changed in a long time</w:t>
            </w:r>
          </w:p>
          <w:p w14:paraId="513AA28F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br/>
              <w:t xml:space="preserve">Rates have not been updated in over a decade, proposed increase is equal to the increase in the Consumer Price Index (CPI) since the last rate increase. </w:t>
            </w:r>
          </w:p>
          <w:p w14:paraId="64826273" w14:textId="77777777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br/>
              <w:t xml:space="preserve">Clearly lay out the boundaries of this new Port &amp; Harbor policy. </w:t>
            </w:r>
          </w:p>
          <w:p w14:paraId="7416A7D2" w14:textId="7D5B6C34" w:rsidR="00C543A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br/>
              <w:t>Cost for disposal of empty drums can be quite high, it is our expectation that boat owners pick up drums after we dispose of the oil</w:t>
            </w:r>
            <w:r w:rsidR="00C543A7">
              <w:rPr>
                <w:rFonts w:ascii="Source Sans Pro" w:hAnsi="Source Sans Pro"/>
              </w:rPr>
              <w:br/>
            </w:r>
            <w:r w:rsidR="00C543A7">
              <w:rPr>
                <w:rFonts w:ascii="Source Sans Pro" w:hAnsi="Source Sans Pro"/>
              </w:rPr>
              <w:br/>
              <w:t xml:space="preserve">CPI increase only – 10-year </w:t>
            </w:r>
            <w:r w:rsidR="00C543A7">
              <w:rPr>
                <w:rFonts w:ascii="Source Sans Pro" w:hAnsi="Source Sans Pro"/>
              </w:rPr>
              <w:lastRenderedPageBreak/>
              <w:t xml:space="preserve">annual rate increase of 3.2% ended this year. </w:t>
            </w:r>
          </w:p>
          <w:p w14:paraId="590FB610" w14:textId="68C44F9F" w:rsidR="00C543A7" w:rsidRDefault="00C543A7" w:rsidP="00E65817">
            <w:pPr>
              <w:pStyle w:val="NormalWeb"/>
              <w:rPr>
                <w:rFonts w:ascii="Source Sans Pro" w:hAnsi="Source Sans Pro"/>
              </w:rPr>
            </w:pPr>
          </w:p>
        </w:tc>
      </w:tr>
      <w:tr w:rsidR="00E65817" w14:paraId="19740846" w14:textId="77777777" w:rsidTr="00E65817">
        <w:tc>
          <w:tcPr>
            <w:tcW w:w="3356" w:type="dxa"/>
          </w:tcPr>
          <w:p w14:paraId="4A6CD933" w14:textId="73C6AA26" w:rsidR="00E65817" w:rsidRPr="000F02B6" w:rsidRDefault="00E65817" w:rsidP="00E65817">
            <w:pPr>
              <w:pStyle w:val="NormalWeb"/>
              <w:rPr>
                <w:rFonts w:ascii="Source Sans Pro" w:hAnsi="Source Sans Pro"/>
                <w:i/>
                <w:iCs/>
              </w:rPr>
            </w:pPr>
            <w:r>
              <w:rPr>
                <w:rFonts w:ascii="Source Sans Pro" w:hAnsi="Source Sans Pro"/>
              </w:rPr>
              <w:lastRenderedPageBreak/>
              <w:t>Throughout Tariff</w:t>
            </w:r>
            <w:r w:rsidR="000F02B6">
              <w:rPr>
                <w:rFonts w:ascii="Source Sans Pro" w:hAnsi="Source Sans Pro"/>
              </w:rPr>
              <w:t xml:space="preserve"> (</w:t>
            </w:r>
            <w:r w:rsidR="000F02B6">
              <w:rPr>
                <w:rFonts w:ascii="Source Sans Pro" w:hAnsi="Source Sans Pro"/>
                <w:i/>
                <w:iCs/>
              </w:rPr>
              <w:t>Not yet reflected in draft ordinance)</w:t>
            </w:r>
          </w:p>
        </w:tc>
        <w:tc>
          <w:tcPr>
            <w:tcW w:w="3357" w:type="dxa"/>
          </w:tcPr>
          <w:p w14:paraId="4CD55038" w14:textId="13E033C2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Change “Moorage Agreement” to “Moorage Permit”</w:t>
            </w:r>
          </w:p>
        </w:tc>
        <w:tc>
          <w:tcPr>
            <w:tcW w:w="3357" w:type="dxa"/>
          </w:tcPr>
          <w:p w14:paraId="2E735441" w14:textId="4CA15EB1" w:rsidR="00E65817" w:rsidRDefault="00E65817" w:rsidP="00E65817">
            <w:pPr>
              <w:pStyle w:val="NormalWeb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Reflects change requested by City Attorney in reviewing the Moorage Permit</w:t>
            </w:r>
          </w:p>
        </w:tc>
      </w:tr>
    </w:tbl>
    <w:p w14:paraId="6F651276" w14:textId="77777777" w:rsidR="007010A4" w:rsidRPr="008245A4" w:rsidRDefault="007010A4" w:rsidP="007010A4">
      <w:pPr>
        <w:pStyle w:val="NormalWeb"/>
        <w:jc w:val="both"/>
        <w:rPr>
          <w:rFonts w:ascii="Source Sans Pro" w:hAnsi="Source Sans Pro"/>
        </w:rPr>
      </w:pPr>
    </w:p>
    <w:p w14:paraId="13823CAB" w14:textId="77777777" w:rsidR="007010A4" w:rsidRPr="008245A4" w:rsidRDefault="007010A4" w:rsidP="007010A4">
      <w:pPr>
        <w:pStyle w:val="NoSpacing"/>
        <w:rPr>
          <w:rFonts w:ascii="Source Sans Pro" w:hAnsi="Source Sans Pro"/>
          <w:b/>
          <w:sz w:val="24"/>
          <w:szCs w:val="24"/>
        </w:rPr>
      </w:pPr>
      <w:r w:rsidRPr="008245A4">
        <w:rPr>
          <w:rFonts w:ascii="Source Sans Pro" w:hAnsi="Source Sans Pro"/>
          <w:b/>
          <w:sz w:val="24"/>
          <w:szCs w:val="24"/>
        </w:rPr>
        <w:t>RECOMMENDATION:</w:t>
      </w:r>
    </w:p>
    <w:p w14:paraId="45C8B403" w14:textId="38D8C86B" w:rsidR="00B1318C" w:rsidRPr="008245A4" w:rsidRDefault="002F1ECE" w:rsidP="00E94A5D">
      <w:pPr>
        <w:spacing w:after="120"/>
        <w:jc w:val="both"/>
      </w:pPr>
      <w:r>
        <w:t>Adopt</w:t>
      </w:r>
      <w:r w:rsidR="00B1318C" w:rsidRPr="008245A4">
        <w:t xml:space="preserve"> proposed changes to the Port of Homer Tariff</w:t>
      </w:r>
    </w:p>
    <w:p w14:paraId="2B47F1D3" w14:textId="09DAAAFF" w:rsidR="00B1318C" w:rsidRPr="008245A4" w:rsidRDefault="00B1318C" w:rsidP="00E94A5D">
      <w:pPr>
        <w:spacing w:after="0"/>
        <w:rPr>
          <w:b/>
          <w:bCs/>
        </w:rPr>
      </w:pPr>
      <w:r w:rsidRPr="008245A4">
        <w:rPr>
          <w:b/>
          <w:bCs/>
        </w:rPr>
        <w:t>ATTACHMENTS:</w:t>
      </w:r>
    </w:p>
    <w:p w14:paraId="0FF609C2" w14:textId="53E86542" w:rsidR="00B1318C" w:rsidRDefault="002F1ECE" w:rsidP="00E94A5D">
      <w:pPr>
        <w:spacing w:after="0"/>
      </w:pPr>
      <w:r>
        <w:t>Excerpt from the draft minutes of the October 22, 2025 Port &amp; Harbor Advisory Commission Meeting</w:t>
      </w:r>
    </w:p>
    <w:p w14:paraId="5C2D6819" w14:textId="3AF5D224" w:rsidR="00E94A5D" w:rsidRPr="000F02B6" w:rsidRDefault="00E94A5D" w:rsidP="00E94A5D">
      <w:pPr>
        <w:spacing w:after="0"/>
      </w:pPr>
      <w:r>
        <w:t>Excerpt from the draft minutes of the December 10, 2025 Port &amp; Harbor Advisory Commission Meeting</w:t>
      </w:r>
    </w:p>
    <w:sectPr w:rsidR="00E94A5D" w:rsidRPr="000F02B6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07B8" w14:textId="77777777" w:rsidR="005B50CD" w:rsidRDefault="005B50CD">
      <w:pPr>
        <w:spacing w:after="0"/>
      </w:pPr>
      <w:r>
        <w:separator/>
      </w:r>
    </w:p>
  </w:endnote>
  <w:endnote w:type="continuationSeparator" w:id="0">
    <w:p w14:paraId="64CD3329" w14:textId="77777777" w:rsidR="005B50CD" w:rsidRDefault="005B5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7F29" w14:textId="77777777" w:rsidR="005B50CD" w:rsidRDefault="005B50CD">
      <w:pPr>
        <w:spacing w:after="0"/>
      </w:pPr>
      <w:r>
        <w:separator/>
      </w:r>
    </w:p>
  </w:footnote>
  <w:footnote w:type="continuationSeparator" w:id="0">
    <w:p w14:paraId="6C693A3F" w14:textId="77777777" w:rsidR="005B50CD" w:rsidRDefault="005B5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single" w:sz="6" w:space="0" w:color="000000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F1583" w14:paraId="21E015ED" w14:textId="77777777">
      <w:tc>
        <w:tcPr>
          <w:tcW w:w="5040" w:type="dxa"/>
        </w:tcPr>
        <w:p w14:paraId="2BB2158F" w14:textId="77777777" w:rsidR="002F1583" w:rsidRDefault="00E82F13">
          <w:r>
            <w:rPr>
              <w:sz w:val="20"/>
              <w:szCs w:val="20"/>
            </w:rPr>
            <w:t>Agenda Item Report</w:t>
          </w:r>
        </w:p>
        <w:p w14:paraId="69F1E830" w14:textId="77777777" w:rsidR="002F1583" w:rsidRDefault="00E82F13">
          <w:r>
            <w:rPr>
              <w:sz w:val="20"/>
              <w:szCs w:val="20"/>
            </w:rPr>
            <w:t xml:space="preserve"> City Council </w:t>
          </w:r>
        </w:p>
        <w:p w14:paraId="00656018" w14:textId="77777777" w:rsidR="002F1583" w:rsidRDefault="00E82F13">
          <w:r>
            <w:rPr>
              <w:sz w:val="20"/>
              <w:szCs w:val="20"/>
            </w:rPr>
            <w:t>February 27, 2023</w:t>
          </w:r>
        </w:p>
      </w:tc>
      <w:tc>
        <w:tcPr>
          <w:tcW w:w="5040" w:type="dxa"/>
        </w:tcPr>
        <w:p w14:paraId="4C24265A" w14:textId="77777777" w:rsidR="002F1583" w:rsidRDefault="00E82F13">
          <w:pPr>
            <w:jc w:val="right"/>
          </w:pPr>
          <w:r>
            <w:rPr>
              <w:sz w:val="20"/>
              <w:szCs w:val="20"/>
            </w:rPr>
            <w:t>CC-23-057</w:t>
          </w:r>
        </w:p>
      </w:tc>
    </w:tr>
  </w:tbl>
  <w:p w14:paraId="2CB5F50C" w14:textId="77777777" w:rsidR="002F1583" w:rsidRDefault="002F1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single" w:sz="6" w:space="0" w:color="000000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F1583" w14:paraId="24B8D94C" w14:textId="77777777">
      <w:tc>
        <w:tcPr>
          <w:tcW w:w="5040" w:type="dxa"/>
        </w:tcPr>
        <w:p w14:paraId="115D5B87" w14:textId="77777777" w:rsidR="002F1583" w:rsidRDefault="00E82F13">
          <w:r>
            <w:rPr>
              <w:sz w:val="20"/>
              <w:szCs w:val="20"/>
            </w:rPr>
            <w:t xml:space="preserve">City Council </w:t>
          </w:r>
        </w:p>
        <w:p w14:paraId="458CF3EE" w14:textId="1A4BBFDD" w:rsidR="002F1583" w:rsidRPr="00E94A5D" w:rsidRDefault="00E94A5D">
          <w:pPr>
            <w:rPr>
              <w:sz w:val="20"/>
              <w:szCs w:val="20"/>
            </w:rPr>
          </w:pPr>
          <w:r w:rsidRPr="00E94A5D">
            <w:rPr>
              <w:sz w:val="20"/>
              <w:szCs w:val="20"/>
            </w:rPr>
            <w:t>December 29, 2025</w:t>
          </w:r>
        </w:p>
      </w:tc>
      <w:tc>
        <w:tcPr>
          <w:tcW w:w="5040" w:type="dxa"/>
        </w:tcPr>
        <w:p w14:paraId="4B76B98B" w14:textId="6B807324" w:rsidR="002F1583" w:rsidRDefault="00722128" w:rsidP="003A5EEB">
          <w:pPr>
            <w:jc w:val="right"/>
          </w:pPr>
          <w:r>
            <w:rPr>
              <w:sz w:val="20"/>
              <w:szCs w:val="20"/>
            </w:rPr>
            <w:t>CC-2</w:t>
          </w:r>
          <w:r w:rsidR="00E94A5D">
            <w:rPr>
              <w:sz w:val="20"/>
              <w:szCs w:val="20"/>
            </w:rPr>
            <w:t>6-0</w:t>
          </w:r>
          <w:r w:rsidR="00A51966">
            <w:rPr>
              <w:sz w:val="20"/>
              <w:szCs w:val="20"/>
            </w:rPr>
            <w:t>17</w:t>
          </w:r>
        </w:p>
      </w:tc>
    </w:tr>
  </w:tbl>
  <w:p w14:paraId="6274FD3E" w14:textId="77777777" w:rsidR="002F1583" w:rsidRDefault="002F1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D17C3A"/>
    <w:multiLevelType w:val="hybridMultilevel"/>
    <w:tmpl w:val="9340A62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BFE4"/>
    <w:multiLevelType w:val="hybridMultilevel"/>
    <w:tmpl w:val="C2DE44BA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CA0"/>
    <w:multiLevelType w:val="hybridMultilevel"/>
    <w:tmpl w:val="B5423026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471"/>
    <w:multiLevelType w:val="hybridMultilevel"/>
    <w:tmpl w:val="9570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20561">
    <w:abstractNumId w:val="0"/>
  </w:num>
  <w:num w:numId="2" w16cid:durableId="1914117881">
    <w:abstractNumId w:val="2"/>
  </w:num>
  <w:num w:numId="3" w16cid:durableId="489639265">
    <w:abstractNumId w:val="1"/>
  </w:num>
  <w:num w:numId="4" w16cid:durableId="167957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17552"/>
    <w:rsid w:val="000457C7"/>
    <w:rsid w:val="000858FC"/>
    <w:rsid w:val="000F02B6"/>
    <w:rsid w:val="00105446"/>
    <w:rsid w:val="00154849"/>
    <w:rsid w:val="001D2939"/>
    <w:rsid w:val="001F45E2"/>
    <w:rsid w:val="00287FB5"/>
    <w:rsid w:val="002D1DD3"/>
    <w:rsid w:val="002F1583"/>
    <w:rsid w:val="002F1ECE"/>
    <w:rsid w:val="003115D5"/>
    <w:rsid w:val="00325C88"/>
    <w:rsid w:val="00337E56"/>
    <w:rsid w:val="003725EC"/>
    <w:rsid w:val="003A5EEB"/>
    <w:rsid w:val="003A6BF1"/>
    <w:rsid w:val="004118A6"/>
    <w:rsid w:val="0048206B"/>
    <w:rsid w:val="005B50CD"/>
    <w:rsid w:val="006A7E97"/>
    <w:rsid w:val="007010A4"/>
    <w:rsid w:val="00722128"/>
    <w:rsid w:val="00773046"/>
    <w:rsid w:val="007E381F"/>
    <w:rsid w:val="007F0355"/>
    <w:rsid w:val="008245A4"/>
    <w:rsid w:val="008619BC"/>
    <w:rsid w:val="008A198D"/>
    <w:rsid w:val="008C70E6"/>
    <w:rsid w:val="0099115E"/>
    <w:rsid w:val="009951A8"/>
    <w:rsid w:val="009C522A"/>
    <w:rsid w:val="009E3855"/>
    <w:rsid w:val="009F18F8"/>
    <w:rsid w:val="00A340CB"/>
    <w:rsid w:val="00A51966"/>
    <w:rsid w:val="00AF59E2"/>
    <w:rsid w:val="00B02EDA"/>
    <w:rsid w:val="00B1318C"/>
    <w:rsid w:val="00BC3CEE"/>
    <w:rsid w:val="00BD2A24"/>
    <w:rsid w:val="00BD4B2E"/>
    <w:rsid w:val="00C075CF"/>
    <w:rsid w:val="00C543A7"/>
    <w:rsid w:val="00CA1DCA"/>
    <w:rsid w:val="00CA351D"/>
    <w:rsid w:val="00CC4B43"/>
    <w:rsid w:val="00CF680A"/>
    <w:rsid w:val="00DB6B52"/>
    <w:rsid w:val="00DB7F13"/>
    <w:rsid w:val="00DC0A09"/>
    <w:rsid w:val="00DD5267"/>
    <w:rsid w:val="00DF1255"/>
    <w:rsid w:val="00E65817"/>
    <w:rsid w:val="00E82F13"/>
    <w:rsid w:val="00E94A5D"/>
    <w:rsid w:val="00ED7AD6"/>
    <w:rsid w:val="00EE47B0"/>
    <w:rsid w:val="00F21B41"/>
    <w:rsid w:val="00F9787D"/>
    <w:rsid w:val="00FB34AD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8E29"/>
  <w15:docId w15:val="{8EDD7634-21DD-4A8C-9363-6EB1839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Source Sans Pro"/>
        <w:sz w:val="24"/>
        <w:szCs w:val="24"/>
        <w:lang w:val="en-US" w:eastAsia="en-US" w:bidi="en-US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21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128"/>
  </w:style>
  <w:style w:type="paragraph" w:styleId="Header">
    <w:name w:val="header"/>
    <w:basedOn w:val="Normal"/>
    <w:link w:val="HeaderChar"/>
    <w:uiPriority w:val="99"/>
    <w:unhideWhenUsed/>
    <w:rsid w:val="007221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128"/>
  </w:style>
  <w:style w:type="paragraph" w:styleId="ListParagraph">
    <w:name w:val="List Paragraph"/>
    <w:basedOn w:val="Normal"/>
    <w:uiPriority w:val="34"/>
    <w:qFormat/>
    <w:rsid w:val="00AF59E2"/>
    <w:pPr>
      <w:ind w:left="720"/>
      <w:contextualSpacing/>
    </w:pPr>
  </w:style>
  <w:style w:type="paragraph" w:styleId="NoSpacing">
    <w:name w:val="No Spacing"/>
    <w:uiPriority w:val="1"/>
    <w:qFormat/>
    <w:rsid w:val="003A6BF1"/>
    <w:pPr>
      <w:spacing w:after="0"/>
      <w:jc w:val="both"/>
    </w:pPr>
    <w:rPr>
      <w:rFonts w:ascii="Trebuchet MS" w:eastAsia="Calibri" w:hAnsi="Trebuchet MS" w:cs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7010A4"/>
    <w:pPr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A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E658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2838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Rachel Tussey</dc:creator>
  <cp:keywords>iCompass-Open-Document</cp:keywords>
  <dc:description/>
  <cp:lastModifiedBy>Amy Woodruff</cp:lastModifiedBy>
  <cp:revision>13</cp:revision>
  <dcterms:created xsi:type="dcterms:W3CDTF">2025-12-15T23:36:00Z</dcterms:created>
  <dcterms:modified xsi:type="dcterms:W3CDTF">2026-01-09T01:06:00Z</dcterms:modified>
  <cp:category>iCompass-Open-Document</cp:category>
</cp:coreProperties>
</file>